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朗县委统战部</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仿宋" w:hAnsi="仿宋" w:eastAsia="仿宋" w:cs="宋体"/>
          <w:b/>
          <w:color w:val="auto"/>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rPr>
        <w:t>党委统战部是全县统一战线工作职能部门。主要职责对各寺庙及寺管会了解情况、掌握政策、协调关系、安排人事、增进共识、加强团结等。</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执行县委、县政府的决议，以及上级国家行政机关的决定和命令；</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负责贯彻执行党的各项统战政策，落实有关知识分子、民主党派、民族宗教和侨务工作政策，经常对统战政策贯彻落实情况进行调查研究、检查督促。</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协助有关部门做好统一战线理论、方针、政策的学习、宣传工作，及时组织传达贯彻有关统战工作的文件和会议精神。</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负责党外人士的政治安排，会同县组织部做好培养、选拔、推荐党外人士担任领导职务的工作，做好党外后备干部和代表人物队伍的建设工作。</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协调检查有关民族、宗教工作方针、政策的落实情况，联系宗教界、少数民族民族代表人士。</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配合有关部门做好非党知识分子中代表人物的培养、举荐、安排、使用工作；</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制定和完善统战工作各项规章制度；</w:t>
      </w:r>
    </w:p>
    <w:p>
      <w:pPr>
        <w:numPr>
          <w:ilvl w:val="0"/>
          <w:numId w:val="1"/>
        </w:num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调查研究党外知识分子的情况，反映党外知识分子的意见，协调关系、提出政策建议；联系并培养党外知识分子代表人物，会同有关部门做好政治、生活待遇的安排</w:t>
      </w:r>
      <w:r>
        <w:rPr>
          <w:rFonts w:hint="eastAsia" w:ascii="仿宋" w:hAnsi="仿宋" w:eastAsia="仿宋" w:cs="宋体"/>
          <w:color w:val="auto"/>
          <w:sz w:val="32"/>
          <w:szCs w:val="32"/>
          <w:lang w:eastAsia="zh-CN"/>
        </w:rPr>
        <w:t>。</w:t>
      </w:r>
    </w:p>
    <w:p>
      <w:pPr>
        <w:numPr>
          <w:ilvl w:val="0"/>
          <w:numId w:val="1"/>
        </w:numPr>
        <w:adjustRightInd/>
        <w:snapToGrid/>
        <w:spacing w:before="225" w:after="225" w:line="480" w:lineRule="atLeast"/>
        <w:ind w:firstLine="480"/>
        <w:jc w:val="both"/>
        <w:rPr>
          <w:rFonts w:ascii="仿宋" w:hAnsi="仿宋" w:eastAsia="仿宋"/>
          <w:sz w:val="32"/>
          <w:szCs w:val="32"/>
        </w:rPr>
      </w:pPr>
      <w:r>
        <w:rPr>
          <w:rFonts w:hint="eastAsia" w:ascii="仿宋" w:hAnsi="仿宋" w:eastAsia="仿宋" w:cs="宋体"/>
          <w:color w:val="auto"/>
          <w:sz w:val="32"/>
          <w:szCs w:val="32"/>
        </w:rPr>
        <w:t>配合县（市、区）党委统战部门的工作，协调县级有关部门的统战工作。</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27" w:firstLineChars="196"/>
        <w:rPr>
          <w:rFonts w:ascii="仿宋" w:hAnsi="仿宋" w:eastAsia="仿宋"/>
          <w:color w:val="auto"/>
          <w:sz w:val="32"/>
          <w:szCs w:val="32"/>
        </w:rPr>
      </w:pPr>
      <w:r>
        <w:rPr>
          <w:rFonts w:hint="eastAsia" w:ascii="仿宋" w:hAnsi="仿宋" w:eastAsia="仿宋"/>
          <w:color w:val="auto"/>
          <w:sz w:val="32"/>
          <w:szCs w:val="32"/>
        </w:rPr>
        <w:t>朗县县委统战部于</w:t>
      </w:r>
      <w:r>
        <w:rPr>
          <w:rFonts w:ascii="仿宋" w:hAnsi="仿宋" w:eastAsia="仿宋"/>
          <w:color w:val="auto"/>
          <w:sz w:val="32"/>
          <w:szCs w:val="32"/>
        </w:rPr>
        <w:t>1960</w:t>
      </w:r>
      <w:r>
        <w:rPr>
          <w:rFonts w:hint="eastAsia" w:ascii="仿宋" w:hAnsi="仿宋" w:eastAsia="仿宋"/>
          <w:color w:val="auto"/>
          <w:sz w:val="32"/>
          <w:szCs w:val="32"/>
        </w:rPr>
        <w:t>年</w:t>
      </w:r>
      <w:r>
        <w:rPr>
          <w:rFonts w:ascii="仿宋" w:hAnsi="仿宋" w:eastAsia="仿宋"/>
          <w:color w:val="auto"/>
          <w:sz w:val="32"/>
          <w:szCs w:val="32"/>
        </w:rPr>
        <w:t>2</w:t>
      </w:r>
      <w:r>
        <w:rPr>
          <w:rFonts w:hint="eastAsia" w:ascii="仿宋" w:hAnsi="仿宋" w:eastAsia="仿宋"/>
          <w:color w:val="auto"/>
          <w:sz w:val="32"/>
          <w:szCs w:val="32"/>
        </w:rPr>
        <w:t>月成立，当时无专职领导，现办公室设</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个内设机构：统战部、</w:t>
      </w:r>
      <w:r>
        <w:rPr>
          <w:rFonts w:hint="eastAsia" w:ascii="仿宋" w:hAnsi="仿宋" w:eastAsia="仿宋"/>
          <w:color w:val="auto"/>
          <w:sz w:val="32"/>
          <w:szCs w:val="32"/>
          <w:lang w:eastAsia="zh-CN"/>
        </w:rPr>
        <w:t>宣</w:t>
      </w:r>
      <w:r>
        <w:rPr>
          <w:rFonts w:hint="eastAsia" w:ascii="仿宋" w:hAnsi="仿宋" w:eastAsia="仿宋"/>
          <w:color w:val="auto"/>
          <w:sz w:val="32"/>
          <w:szCs w:val="32"/>
        </w:rPr>
        <w:t>教办</w:t>
      </w:r>
      <w:r>
        <w:rPr>
          <w:rFonts w:hint="eastAsia" w:ascii="仿宋" w:hAnsi="仿宋" w:eastAsia="仿宋"/>
          <w:color w:val="auto"/>
          <w:sz w:val="32"/>
          <w:szCs w:val="32"/>
          <w:lang w:eastAsia="zh-CN"/>
        </w:rPr>
        <w:t>、宗教办、财务室</w:t>
      </w:r>
      <w:r>
        <w:rPr>
          <w:rFonts w:hint="eastAsia" w:ascii="仿宋" w:hAnsi="仿宋" w:eastAsia="仿宋"/>
          <w:color w:val="auto"/>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年收支总预算</w:t>
      </w:r>
      <w:r>
        <w:rPr>
          <w:rFonts w:hint="eastAsia" w:ascii="仿宋" w:hAnsi="仿宋" w:eastAsia="仿宋"/>
          <w:sz w:val="32"/>
          <w:szCs w:val="32"/>
          <w:lang w:val="en-US" w:eastAsia="zh-CN"/>
        </w:rPr>
        <w:t>629.32万</w:t>
      </w:r>
      <w:r>
        <w:rPr>
          <w:rFonts w:hint="eastAsia" w:ascii="仿宋" w:hAnsi="仿宋" w:eastAsia="仿宋"/>
          <w:sz w:val="32"/>
          <w:szCs w:val="32"/>
        </w:rPr>
        <w:t>元。收入</w:t>
      </w:r>
      <w:r>
        <w:rPr>
          <w:rFonts w:hint="eastAsia" w:ascii="仿宋" w:hAnsi="仿宋" w:eastAsia="仿宋"/>
          <w:sz w:val="32"/>
          <w:szCs w:val="32"/>
          <w:lang w:eastAsia="zh-CN"/>
        </w:rPr>
        <w:t>全部为</w:t>
      </w:r>
      <w:r>
        <w:rPr>
          <w:rFonts w:hint="eastAsia" w:ascii="仿宋" w:hAnsi="仿宋" w:eastAsia="仿宋"/>
          <w:sz w:val="32"/>
          <w:szCs w:val="32"/>
        </w:rPr>
        <w:t>一般公共预算拨款收入；支出包括：一般公共服务支出</w:t>
      </w:r>
      <w:r>
        <w:rPr>
          <w:rFonts w:hint="eastAsia" w:ascii="仿宋" w:hAnsi="仿宋" w:eastAsia="仿宋"/>
          <w:sz w:val="32"/>
          <w:szCs w:val="32"/>
          <w:lang w:val="en-US" w:eastAsia="zh-CN"/>
        </w:rPr>
        <w:t>501.68万元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51.87万元</w:t>
      </w:r>
      <w:r>
        <w:rPr>
          <w:rFonts w:hint="eastAsia" w:ascii="仿宋" w:hAnsi="仿宋" w:eastAsia="仿宋"/>
          <w:sz w:val="32"/>
          <w:szCs w:val="32"/>
        </w:rPr>
        <w:t>、卫生健康支出</w:t>
      </w:r>
      <w:r>
        <w:rPr>
          <w:rFonts w:hint="eastAsia" w:ascii="仿宋" w:hAnsi="仿宋" w:eastAsia="仿宋"/>
          <w:sz w:val="32"/>
          <w:szCs w:val="32"/>
          <w:lang w:val="en-US" w:eastAsia="zh-CN"/>
        </w:rPr>
        <w:t>34.47万元</w:t>
      </w:r>
      <w:r>
        <w:rPr>
          <w:rFonts w:hint="eastAsia" w:ascii="仿宋" w:hAnsi="仿宋" w:eastAsia="仿宋"/>
          <w:sz w:val="32"/>
          <w:szCs w:val="32"/>
        </w:rPr>
        <w:t>、住房保障支出</w:t>
      </w:r>
      <w:r>
        <w:rPr>
          <w:rFonts w:hint="eastAsia" w:ascii="仿宋" w:hAnsi="仿宋" w:eastAsia="仿宋"/>
          <w:sz w:val="32"/>
          <w:szCs w:val="32"/>
          <w:lang w:val="en-US" w:eastAsia="zh-CN"/>
        </w:rPr>
        <w:t>41.30万元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w:t>
      </w:r>
      <w:r>
        <w:rPr>
          <w:rFonts w:hint="eastAsia" w:ascii="黑体" w:hAnsi="黑体" w:eastAsia="黑体"/>
          <w:sz w:val="32"/>
          <w:szCs w:val="32"/>
          <w:lang w:val="en-US" w:eastAsia="zh-CN"/>
        </w:rPr>
        <w:t>2</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629.32</w:t>
      </w:r>
      <w:r>
        <w:rPr>
          <w:rFonts w:hint="eastAsia" w:ascii="仿宋" w:hAnsi="仿宋" w:eastAsia="仿宋"/>
          <w:sz w:val="32"/>
          <w:szCs w:val="32"/>
        </w:rPr>
        <w:t>万元，其中：上年结转</w:t>
      </w:r>
      <w:r>
        <w:rPr>
          <w:rFonts w:hint="eastAsia" w:ascii="仿宋" w:hAnsi="仿宋" w:eastAsia="仿宋"/>
          <w:sz w:val="32"/>
          <w:szCs w:val="32"/>
          <w:lang w:val="en-US" w:eastAsia="zh-CN"/>
        </w:rPr>
        <w:t>0</w:t>
      </w:r>
      <w:r>
        <w:rPr>
          <w:rFonts w:hint="eastAsia" w:ascii="仿宋" w:hAnsi="仿宋" w:eastAsia="仿宋"/>
          <w:sz w:val="32"/>
          <w:szCs w:val="32"/>
        </w:rPr>
        <w:t>万元；一般公共预算拨款收入</w:t>
      </w:r>
      <w:r>
        <w:rPr>
          <w:rFonts w:hint="eastAsia" w:ascii="仿宋" w:hAnsi="仿宋" w:eastAsia="仿宋"/>
          <w:sz w:val="32"/>
          <w:szCs w:val="32"/>
          <w:lang w:val="en-US" w:eastAsia="zh-CN"/>
        </w:rPr>
        <w:t>629.32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w:t>
      </w:r>
      <w:r>
        <w:rPr>
          <w:rFonts w:hint="eastAsia" w:ascii="黑体" w:hAnsi="黑体" w:eastAsia="黑体"/>
          <w:sz w:val="32"/>
          <w:szCs w:val="32"/>
          <w:lang w:val="en-US" w:eastAsia="zh-CN"/>
        </w:rPr>
        <w:t>2</w:t>
      </w:r>
      <w:r>
        <w:rPr>
          <w:rFonts w:hint="eastAsia" w:ascii="黑体" w:hAnsi="黑体" w:eastAsia="黑体"/>
          <w:sz w:val="32"/>
          <w:szCs w:val="32"/>
        </w:rPr>
        <w:t>年部门支出总表的说明</w:t>
      </w:r>
    </w:p>
    <w:p>
      <w:pPr>
        <w:ind w:firstLine="64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年支出预算</w:t>
      </w:r>
      <w:r>
        <w:rPr>
          <w:rFonts w:hint="eastAsia" w:ascii="仿宋" w:hAnsi="仿宋" w:eastAsia="仿宋"/>
          <w:sz w:val="32"/>
          <w:szCs w:val="32"/>
          <w:lang w:val="en-US" w:eastAsia="zh-CN"/>
        </w:rPr>
        <w:t>629.32</w:t>
      </w:r>
      <w:r>
        <w:rPr>
          <w:rFonts w:hint="eastAsia" w:ascii="仿宋" w:hAnsi="仿宋" w:eastAsia="仿宋"/>
          <w:sz w:val="32"/>
          <w:szCs w:val="32"/>
        </w:rPr>
        <w:t>万元，其中：基本支出</w:t>
      </w:r>
      <w:r>
        <w:rPr>
          <w:rFonts w:hint="eastAsia" w:ascii="仿宋" w:hAnsi="仿宋" w:eastAsia="仿宋"/>
          <w:sz w:val="32"/>
          <w:szCs w:val="32"/>
          <w:lang w:val="en-US" w:eastAsia="zh-CN"/>
        </w:rPr>
        <w:t>548.56</w:t>
      </w:r>
      <w:r>
        <w:rPr>
          <w:rFonts w:hint="eastAsia" w:ascii="仿宋" w:hAnsi="仿宋" w:eastAsia="仿宋"/>
          <w:sz w:val="32"/>
          <w:szCs w:val="32"/>
        </w:rPr>
        <w:t>万元，占</w:t>
      </w:r>
      <w:r>
        <w:rPr>
          <w:rFonts w:hint="eastAsia" w:ascii="仿宋" w:hAnsi="仿宋" w:eastAsia="仿宋"/>
          <w:sz w:val="32"/>
          <w:szCs w:val="32"/>
          <w:lang w:val="en-US" w:eastAsia="zh-CN"/>
        </w:rPr>
        <w:t>87.17</w:t>
      </w:r>
      <w:r>
        <w:rPr>
          <w:rFonts w:hint="eastAsia" w:ascii="仿宋" w:hAnsi="仿宋" w:eastAsia="仿宋"/>
          <w:sz w:val="32"/>
          <w:szCs w:val="32"/>
        </w:rPr>
        <w:t>%；项目支出</w:t>
      </w:r>
      <w:r>
        <w:rPr>
          <w:rFonts w:hint="eastAsia" w:ascii="仿宋" w:hAnsi="仿宋" w:eastAsia="仿宋"/>
          <w:sz w:val="32"/>
          <w:szCs w:val="32"/>
          <w:lang w:val="en-US" w:eastAsia="zh-CN"/>
        </w:rPr>
        <w:t>80.76</w:t>
      </w:r>
      <w:r>
        <w:rPr>
          <w:rFonts w:hint="eastAsia" w:ascii="仿宋" w:hAnsi="仿宋" w:eastAsia="仿宋"/>
          <w:sz w:val="32"/>
          <w:szCs w:val="32"/>
        </w:rPr>
        <w:t>万元，占</w:t>
      </w:r>
      <w:r>
        <w:rPr>
          <w:rFonts w:hint="eastAsia" w:ascii="仿宋" w:hAnsi="仿宋" w:eastAsia="仿宋"/>
          <w:sz w:val="32"/>
          <w:szCs w:val="32"/>
          <w:lang w:val="en-US" w:eastAsia="zh-CN"/>
        </w:rPr>
        <w:t>12.84%。</w:t>
      </w:r>
    </w:p>
    <w:p>
      <w:pPr>
        <w:ind w:firstLine="640"/>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2</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年财政拨款收支总预算</w:t>
      </w:r>
      <w:r>
        <w:rPr>
          <w:rFonts w:hint="eastAsia" w:ascii="仿宋" w:hAnsi="仿宋" w:eastAsia="仿宋"/>
          <w:sz w:val="32"/>
          <w:szCs w:val="32"/>
          <w:lang w:val="en-US" w:eastAsia="zh-CN"/>
        </w:rPr>
        <w:t>629.32</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629.32万元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501.68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51.87</w:t>
      </w:r>
      <w:r>
        <w:rPr>
          <w:rFonts w:hint="eastAsia" w:ascii="仿宋" w:hAnsi="仿宋" w:eastAsia="仿宋"/>
          <w:sz w:val="32"/>
          <w:szCs w:val="32"/>
        </w:rPr>
        <w:t>万元、卫生健康支出</w:t>
      </w:r>
      <w:r>
        <w:rPr>
          <w:rFonts w:hint="eastAsia" w:ascii="仿宋" w:hAnsi="仿宋" w:eastAsia="仿宋"/>
          <w:sz w:val="32"/>
          <w:szCs w:val="32"/>
          <w:lang w:val="en-US" w:eastAsia="zh-CN"/>
        </w:rPr>
        <w:t>34.47</w:t>
      </w:r>
      <w:r>
        <w:rPr>
          <w:rFonts w:hint="eastAsia" w:ascii="仿宋" w:hAnsi="仿宋" w:eastAsia="仿宋"/>
          <w:sz w:val="32"/>
          <w:szCs w:val="32"/>
        </w:rPr>
        <w:t>万元、住房保障支出</w:t>
      </w:r>
      <w:r>
        <w:rPr>
          <w:rFonts w:hint="eastAsia" w:ascii="仿宋" w:hAnsi="仿宋" w:eastAsia="仿宋"/>
          <w:sz w:val="32"/>
          <w:szCs w:val="32"/>
          <w:lang w:val="en-US" w:eastAsia="zh-CN"/>
        </w:rPr>
        <w:t>41.30</w:t>
      </w:r>
      <w:r>
        <w:rPr>
          <w:rFonts w:hint="eastAsia" w:ascii="仿宋" w:hAnsi="仿宋" w:eastAsia="仿宋"/>
          <w:sz w:val="32"/>
          <w:szCs w:val="32"/>
        </w:rPr>
        <w:t>万元。</w:t>
      </w:r>
    </w:p>
    <w:p>
      <w:pPr>
        <w:ind w:firstLine="640"/>
        <w:rPr>
          <w:rFonts w:hint="eastAsia"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2</w:t>
      </w:r>
      <w:r>
        <w:rPr>
          <w:rFonts w:hint="eastAsia" w:ascii="黑体" w:hAnsi="黑体" w:eastAsia="黑体"/>
          <w:sz w:val="32"/>
          <w:szCs w:val="32"/>
        </w:rPr>
        <w:t>年一般公共预算支出表的说明</w:t>
      </w:r>
    </w:p>
    <w:p>
      <w:pPr>
        <w:ind w:firstLine="64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629.32</w:t>
      </w:r>
      <w:r>
        <w:rPr>
          <w:rFonts w:hint="eastAsia" w:ascii="仿宋" w:hAnsi="仿宋" w:eastAsia="仿宋"/>
          <w:sz w:val="32"/>
          <w:szCs w:val="32"/>
        </w:rPr>
        <w:t>万元,比20</w:t>
      </w:r>
      <w:r>
        <w:rPr>
          <w:rFonts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年执行数</w:t>
      </w:r>
      <w:r>
        <w:rPr>
          <w:rFonts w:hint="eastAsia" w:ascii="仿宋" w:hAnsi="仿宋" w:eastAsia="仿宋"/>
          <w:sz w:val="32"/>
          <w:szCs w:val="32"/>
          <w:lang w:val="en-US" w:eastAsia="zh-CN"/>
        </w:rPr>
        <w:t>491.03万元，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138.29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28.17%。</w:t>
      </w:r>
    </w:p>
    <w:p>
      <w:pPr>
        <w:ind w:firstLine="640" w:firstLineChars="200"/>
        <w:rPr>
          <w:rFonts w:ascii="仿宋" w:hAnsi="仿宋" w:eastAsia="仿宋"/>
          <w:sz w:val="32"/>
          <w:szCs w:val="32"/>
        </w:rPr>
      </w:pPr>
      <w:r>
        <w:rPr>
          <w:rFonts w:hint="eastAsia" w:ascii="仿宋" w:hAnsi="仿宋" w:eastAsia="仿宋"/>
          <w:sz w:val="32"/>
          <w:szCs w:val="32"/>
        </w:rPr>
        <w:t>主要原因：</w:t>
      </w:r>
      <w:r>
        <w:rPr>
          <w:rFonts w:hint="eastAsia" w:ascii="仿宋" w:hAnsi="仿宋" w:eastAsia="仿宋"/>
          <w:sz w:val="32"/>
          <w:szCs w:val="32"/>
          <w:lang w:eastAsia="zh-CN"/>
        </w:rPr>
        <w:t>人员调整，预算增加。</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501.68</w:t>
      </w:r>
      <w:r>
        <w:rPr>
          <w:rFonts w:hint="eastAsia" w:ascii="仿宋" w:hAnsi="仿宋" w:eastAsia="仿宋"/>
          <w:sz w:val="32"/>
          <w:szCs w:val="32"/>
        </w:rPr>
        <w:t>万元，占</w:t>
      </w:r>
      <w:r>
        <w:rPr>
          <w:rFonts w:hint="eastAsia" w:ascii="仿宋" w:hAnsi="仿宋" w:eastAsia="仿宋"/>
          <w:sz w:val="32"/>
          <w:szCs w:val="32"/>
          <w:lang w:val="en-US" w:eastAsia="zh-CN"/>
        </w:rPr>
        <w:t>79.72</w:t>
      </w:r>
      <w:r>
        <w:rPr>
          <w:rFonts w:hint="eastAsia" w:ascii="仿宋" w:hAnsi="仿宋" w:eastAsia="仿宋"/>
          <w:sz w:val="32"/>
          <w:szCs w:val="32"/>
        </w:rPr>
        <w:t>%；社会保障和就业支出</w:t>
      </w:r>
      <w:r>
        <w:rPr>
          <w:rFonts w:hint="eastAsia" w:ascii="仿宋" w:hAnsi="仿宋" w:eastAsia="仿宋"/>
          <w:sz w:val="32"/>
          <w:szCs w:val="32"/>
          <w:lang w:val="en-US" w:eastAsia="zh-CN"/>
        </w:rPr>
        <w:t>51.87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8.25%；</w:t>
      </w:r>
      <w:r>
        <w:rPr>
          <w:rFonts w:hint="eastAsia" w:ascii="仿宋" w:hAnsi="仿宋" w:eastAsia="仿宋"/>
          <w:sz w:val="32"/>
          <w:szCs w:val="32"/>
        </w:rPr>
        <w:t>卫生健康支出</w:t>
      </w:r>
      <w:r>
        <w:rPr>
          <w:rFonts w:hint="eastAsia" w:ascii="仿宋" w:hAnsi="仿宋" w:eastAsia="仿宋"/>
          <w:sz w:val="32"/>
          <w:szCs w:val="32"/>
          <w:lang w:val="en-US" w:eastAsia="zh-CN"/>
        </w:rPr>
        <w:t>34.47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5.48%；</w:t>
      </w:r>
      <w:r>
        <w:rPr>
          <w:rFonts w:hint="eastAsia" w:ascii="仿宋" w:hAnsi="仿宋" w:eastAsia="仿宋"/>
          <w:sz w:val="32"/>
          <w:szCs w:val="32"/>
        </w:rPr>
        <w:t>住房保障支出</w:t>
      </w:r>
      <w:r>
        <w:rPr>
          <w:rFonts w:hint="eastAsia" w:ascii="仿宋" w:hAnsi="仿宋" w:eastAsia="仿宋"/>
          <w:sz w:val="32"/>
          <w:szCs w:val="32"/>
          <w:lang w:val="en-US" w:eastAsia="zh-CN"/>
        </w:rPr>
        <w:t>41.30</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6.57%。</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s="宋体"/>
          <w:color w:val="auto"/>
          <w:sz w:val="32"/>
          <w:szCs w:val="32"/>
        </w:rPr>
      </w:pPr>
      <w:r>
        <w:rPr>
          <w:rFonts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一般公共预算支出（类）</w:t>
      </w:r>
      <w:r>
        <w:rPr>
          <w:rFonts w:hint="eastAsia" w:ascii="仿宋" w:hAnsi="仿宋" w:eastAsia="仿宋" w:cs="宋体"/>
          <w:color w:val="auto"/>
          <w:sz w:val="32"/>
          <w:szCs w:val="32"/>
          <w:lang w:eastAsia="zh-CN"/>
        </w:rPr>
        <w:t>统战事物（款）</w:t>
      </w:r>
      <w:r>
        <w:rPr>
          <w:rFonts w:hint="eastAsia" w:ascii="仿宋" w:hAnsi="仿宋" w:eastAsia="仿宋" w:cs="宋体"/>
          <w:color w:val="auto"/>
          <w:sz w:val="32"/>
          <w:szCs w:val="32"/>
        </w:rPr>
        <w:t>行政运行</w:t>
      </w:r>
      <w:r>
        <w:rPr>
          <w:rFonts w:hint="eastAsia" w:ascii="仿宋" w:hAnsi="仿宋" w:eastAsia="仿宋" w:cs="宋体"/>
          <w:color w:val="auto"/>
          <w:sz w:val="32"/>
          <w:szCs w:val="32"/>
          <w:lang w:val="en-US" w:eastAsia="zh-CN"/>
        </w:rPr>
        <w:t>(项)</w:t>
      </w:r>
      <w:r>
        <w:rPr>
          <w:rFonts w:ascii="仿宋" w:hAnsi="仿宋" w:eastAsia="仿宋" w:cs="宋体"/>
          <w:color w:val="auto"/>
          <w:sz w:val="32"/>
          <w:szCs w:val="32"/>
        </w:rPr>
        <w:t xml:space="preserve"> </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420.92</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执行数</w:t>
      </w:r>
      <w:r>
        <w:rPr>
          <w:rFonts w:hint="eastAsia" w:ascii="仿宋" w:hAnsi="仿宋" w:eastAsia="仿宋" w:cs="宋体"/>
          <w:color w:val="auto"/>
          <w:sz w:val="32"/>
          <w:szCs w:val="32"/>
          <w:lang w:val="en-US" w:eastAsia="zh-CN"/>
        </w:rPr>
        <w:t>308.03</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rPr>
        <w:t>了</w:t>
      </w:r>
      <w:r>
        <w:rPr>
          <w:rFonts w:hint="eastAsia" w:ascii="仿宋" w:hAnsi="仿宋" w:eastAsia="仿宋" w:cs="宋体"/>
          <w:color w:val="auto"/>
          <w:sz w:val="32"/>
          <w:szCs w:val="32"/>
          <w:lang w:val="en-US" w:eastAsia="zh-CN"/>
        </w:rPr>
        <w:t>112.89</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增长了</w:t>
      </w:r>
      <w:r>
        <w:rPr>
          <w:rFonts w:hint="eastAsia" w:ascii="仿宋" w:hAnsi="仿宋" w:eastAsia="仿宋" w:cs="宋体"/>
          <w:color w:val="auto"/>
          <w:sz w:val="32"/>
          <w:szCs w:val="32"/>
          <w:lang w:val="en-US" w:eastAsia="zh-CN"/>
        </w:rPr>
        <w:t>36.65</w:t>
      </w:r>
      <w:r>
        <w:rPr>
          <w:rFonts w:ascii="仿宋" w:hAnsi="仿宋" w:eastAsia="仿宋" w:cs="宋体"/>
          <w:color w:val="auto"/>
          <w:sz w:val="32"/>
          <w:szCs w:val="32"/>
        </w:rPr>
        <w:t>%</w:t>
      </w:r>
      <w:r>
        <w:rPr>
          <w:rFonts w:hint="eastAsia" w:ascii="仿宋" w:hAnsi="仿宋" w:eastAsia="仿宋" w:cs="宋体"/>
          <w:color w:val="auto"/>
          <w:sz w:val="32"/>
          <w:szCs w:val="32"/>
        </w:rPr>
        <w:t>。</w:t>
      </w:r>
    </w:p>
    <w:p>
      <w:pPr>
        <w:numPr>
          <w:ilvl w:val="0"/>
          <w:numId w:val="0"/>
        </w:numPr>
        <w:adjustRightInd/>
        <w:snapToGrid/>
        <w:spacing w:before="225" w:after="225" w:line="480" w:lineRule="atLeast"/>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2.</w:t>
      </w:r>
      <w:r>
        <w:rPr>
          <w:rFonts w:hint="eastAsia" w:ascii="仿宋" w:hAnsi="仿宋" w:eastAsia="仿宋" w:cs="宋体"/>
          <w:color w:val="auto"/>
          <w:sz w:val="32"/>
          <w:szCs w:val="32"/>
        </w:rPr>
        <w:t>一般公共预算支出（类）</w:t>
      </w:r>
      <w:r>
        <w:rPr>
          <w:rFonts w:hint="eastAsia" w:ascii="仿宋" w:hAnsi="仿宋" w:eastAsia="仿宋" w:cs="宋体"/>
          <w:color w:val="auto"/>
          <w:sz w:val="32"/>
          <w:szCs w:val="32"/>
          <w:lang w:eastAsia="zh-CN"/>
        </w:rPr>
        <w:t>统战事物（款）</w:t>
      </w:r>
      <w:r>
        <w:rPr>
          <w:rFonts w:hint="eastAsia" w:ascii="仿宋" w:hAnsi="仿宋" w:eastAsia="仿宋" w:cs="宋体"/>
          <w:color w:val="auto"/>
          <w:sz w:val="32"/>
          <w:szCs w:val="32"/>
        </w:rPr>
        <w:t>其他统战事务（项）</w:t>
      </w:r>
      <w:r>
        <w:rPr>
          <w:rFonts w:ascii="仿宋" w:hAnsi="仿宋" w:eastAsia="仿宋" w:cs="宋体"/>
          <w:color w:val="auto"/>
          <w:sz w:val="32"/>
          <w:szCs w:val="32"/>
        </w:rPr>
        <w:t xml:space="preserve"> </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80.76</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w:t>
      </w:r>
      <w:r>
        <w:rPr>
          <w:rFonts w:hint="eastAsia" w:ascii="仿宋" w:hAnsi="仿宋" w:eastAsia="仿宋" w:cs="宋体"/>
          <w:color w:val="auto"/>
          <w:sz w:val="32"/>
          <w:szCs w:val="32"/>
        </w:rPr>
        <w:t>数</w:t>
      </w:r>
      <w:r>
        <w:rPr>
          <w:rFonts w:hint="eastAsia" w:ascii="仿宋" w:hAnsi="仿宋" w:eastAsia="仿宋" w:cs="宋体"/>
          <w:color w:val="auto"/>
          <w:sz w:val="32"/>
          <w:szCs w:val="32"/>
          <w:lang w:val="en-US" w:eastAsia="zh-CN"/>
        </w:rPr>
        <w:t>62.34</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18.42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增长了</w:t>
      </w:r>
      <w:r>
        <w:rPr>
          <w:rFonts w:hint="eastAsia" w:ascii="仿宋" w:hAnsi="仿宋" w:eastAsia="仿宋" w:cs="宋体"/>
          <w:color w:val="auto"/>
          <w:sz w:val="32"/>
          <w:szCs w:val="32"/>
          <w:lang w:val="en-US" w:eastAsia="zh-CN"/>
        </w:rPr>
        <w:t>29.55</w:t>
      </w:r>
      <w:r>
        <w:rPr>
          <w:rFonts w:ascii="仿宋" w:hAnsi="仿宋" w:eastAsia="仿宋" w:cs="宋体"/>
          <w:color w:val="auto"/>
          <w:sz w:val="32"/>
          <w:szCs w:val="32"/>
        </w:rPr>
        <w:t>%</w:t>
      </w:r>
      <w:r>
        <w:rPr>
          <w:rFonts w:hint="eastAsia" w:ascii="仿宋" w:hAnsi="仿宋" w:eastAsia="仿宋" w:cs="宋体"/>
          <w:color w:val="auto"/>
          <w:sz w:val="32"/>
          <w:szCs w:val="32"/>
        </w:rPr>
        <w:t>。</w:t>
      </w:r>
    </w:p>
    <w:p>
      <w:pPr>
        <w:adjustRightInd/>
        <w:snapToGrid/>
        <w:spacing w:before="225" w:after="225" w:line="480" w:lineRule="atLeast"/>
        <w:ind w:firstLine="640"/>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社会保障和就业支出（类）行政事业单位离退休（款）机关事业单位基本养老保险费支出（项）20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51.55</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w:t>
      </w:r>
      <w:r>
        <w:rPr>
          <w:rFonts w:hint="eastAsia" w:ascii="仿宋" w:hAnsi="仿宋" w:eastAsia="仿宋" w:cs="宋体"/>
          <w:color w:val="auto"/>
          <w:sz w:val="32"/>
          <w:szCs w:val="32"/>
        </w:rPr>
        <w:t>数</w:t>
      </w:r>
      <w:r>
        <w:rPr>
          <w:rFonts w:hint="eastAsia" w:ascii="仿宋" w:hAnsi="仿宋" w:eastAsia="仿宋" w:cs="宋体"/>
          <w:color w:val="auto"/>
          <w:sz w:val="32"/>
          <w:szCs w:val="32"/>
          <w:lang w:val="en-US" w:eastAsia="zh-CN"/>
        </w:rPr>
        <w:t>36.75</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14.8万元，增长40.28</w:t>
      </w:r>
      <w:r>
        <w:rPr>
          <w:rFonts w:hint="eastAsia" w:ascii="仿宋" w:hAnsi="仿宋" w:eastAsia="仿宋" w:cs="宋体"/>
          <w:color w:val="auto"/>
          <w:sz w:val="32"/>
          <w:szCs w:val="32"/>
        </w:rPr>
        <w:t>%；</w:t>
      </w:r>
    </w:p>
    <w:p>
      <w:pPr>
        <w:adjustRightInd/>
        <w:snapToGrid/>
        <w:spacing w:before="225" w:after="225" w:line="480" w:lineRule="atLeast"/>
        <w:ind w:firstLine="64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社会保障和就业支出（类）财政对其他社会保险基金的补助（款）财政对工伤保险基金的补助（项）20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0.32</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执行数</w:t>
      </w:r>
      <w:r>
        <w:rPr>
          <w:rFonts w:hint="eastAsia" w:ascii="仿宋" w:hAnsi="仿宋" w:eastAsia="仿宋" w:cs="宋体"/>
          <w:color w:val="auto"/>
          <w:sz w:val="32"/>
          <w:szCs w:val="32"/>
          <w:lang w:val="en-US" w:eastAsia="zh-CN"/>
        </w:rPr>
        <w:t>0.55</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0.23万元，下降41.82%</w:t>
      </w:r>
      <w:r>
        <w:rPr>
          <w:rFonts w:hint="eastAsia" w:ascii="仿宋" w:hAnsi="仿宋" w:eastAsia="仿宋" w:cs="宋体"/>
          <w:color w:val="auto"/>
          <w:sz w:val="32"/>
          <w:szCs w:val="32"/>
        </w:rPr>
        <w:t>；</w:t>
      </w:r>
    </w:p>
    <w:p>
      <w:pPr>
        <w:adjustRightInd/>
        <w:snapToGrid/>
        <w:spacing w:before="225" w:after="225" w:line="480" w:lineRule="atLeast"/>
        <w:ind w:firstLine="320" w:firstLineChars="100"/>
        <w:jc w:val="both"/>
        <w:rPr>
          <w:rFonts w:hint="eastAsia" w:ascii="仿宋" w:hAnsi="仿宋" w:eastAsia="仿宋" w:cs="宋体"/>
          <w:color w:val="auto"/>
          <w:sz w:val="32"/>
          <w:szCs w:val="32"/>
          <w:lang w:eastAsia="zh-CN"/>
        </w:rPr>
      </w:pPr>
      <w:r>
        <w:rPr>
          <w:rFonts w:hint="eastAsia" w:ascii="仿宋" w:hAnsi="仿宋" w:eastAsia="仿宋" w:cs="宋体"/>
          <w:color w:val="auto"/>
          <w:sz w:val="32"/>
          <w:szCs w:val="32"/>
        </w:rPr>
        <w:t>主要原因：</w:t>
      </w:r>
      <w:r>
        <w:rPr>
          <w:rFonts w:hint="eastAsia" w:ascii="仿宋" w:hAnsi="仿宋" w:eastAsia="仿宋" w:cs="宋体"/>
          <w:color w:val="auto"/>
          <w:sz w:val="32"/>
          <w:szCs w:val="32"/>
          <w:lang w:eastAsia="zh-CN"/>
        </w:rPr>
        <w:t>人员调整及</w:t>
      </w:r>
      <w:r>
        <w:rPr>
          <w:rFonts w:hint="eastAsia" w:ascii="仿宋" w:hAnsi="仿宋" w:eastAsia="仿宋" w:cs="宋体"/>
          <w:color w:val="auto"/>
          <w:sz w:val="32"/>
          <w:szCs w:val="32"/>
          <w:lang w:val="en-US" w:eastAsia="zh-CN"/>
        </w:rPr>
        <w:t>2021年各个管委会人员的社保资金转至统战部</w:t>
      </w:r>
      <w:r>
        <w:rPr>
          <w:rFonts w:hint="eastAsia" w:ascii="仿宋" w:hAnsi="仿宋" w:eastAsia="仿宋" w:cs="宋体"/>
          <w:color w:val="auto"/>
          <w:sz w:val="32"/>
          <w:szCs w:val="32"/>
          <w:lang w:eastAsia="zh-CN"/>
        </w:rPr>
        <w:t>。</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卫生健康（类）行政事业单位医疗（款）公务员医疗补助（项）20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6.44</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w:t>
      </w:r>
      <w:r>
        <w:rPr>
          <w:rFonts w:hint="eastAsia" w:ascii="仿宋" w:hAnsi="仿宋" w:eastAsia="仿宋" w:cs="宋体"/>
          <w:color w:val="auto"/>
          <w:sz w:val="32"/>
          <w:szCs w:val="32"/>
        </w:rPr>
        <w:t>数</w:t>
      </w:r>
      <w:r>
        <w:rPr>
          <w:rFonts w:hint="eastAsia" w:ascii="仿宋" w:hAnsi="仿宋" w:eastAsia="仿宋" w:cs="宋体"/>
          <w:color w:val="auto"/>
          <w:sz w:val="32"/>
          <w:szCs w:val="32"/>
          <w:lang w:val="en-US" w:eastAsia="zh-CN"/>
        </w:rPr>
        <w:t>14.05</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7.61</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54.17</w:t>
      </w:r>
      <w:r>
        <w:rPr>
          <w:rFonts w:hint="eastAsia" w:ascii="仿宋" w:hAnsi="仿宋" w:eastAsia="仿宋" w:cs="宋体"/>
          <w:color w:val="auto"/>
          <w:sz w:val="32"/>
          <w:szCs w:val="32"/>
        </w:rPr>
        <w:t>%；</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2</w:t>
      </w:r>
      <w:r>
        <w:rPr>
          <w:rFonts w:hint="eastAsia" w:ascii="仿宋" w:hAnsi="仿宋" w:eastAsia="仿宋" w:cs="宋体"/>
          <w:color w:val="auto"/>
          <w:sz w:val="32"/>
          <w:szCs w:val="32"/>
          <w:lang w:val="en-US" w:eastAsia="zh-CN"/>
        </w:rPr>
        <w:t>.</w:t>
      </w:r>
      <w:r>
        <w:rPr>
          <w:rFonts w:hint="eastAsia" w:ascii="仿宋" w:hAnsi="仿宋" w:eastAsia="仿宋" w:cs="宋体"/>
          <w:color w:val="auto"/>
          <w:sz w:val="32"/>
          <w:szCs w:val="32"/>
        </w:rPr>
        <w:t>卫生健康（类）财政对基本医疗保险基金的补助（款）财政对职工医疗保险基金的补助（项）20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28.03</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w:t>
      </w:r>
      <w:r>
        <w:rPr>
          <w:rFonts w:hint="eastAsia" w:ascii="仿宋" w:hAnsi="仿宋" w:eastAsia="仿宋" w:cs="宋体"/>
          <w:color w:val="auto"/>
          <w:sz w:val="32"/>
          <w:szCs w:val="32"/>
        </w:rPr>
        <w:t>数</w:t>
      </w:r>
      <w:r>
        <w:rPr>
          <w:rFonts w:hint="eastAsia" w:ascii="仿宋" w:hAnsi="仿宋" w:eastAsia="仿宋" w:cs="宋体"/>
          <w:color w:val="auto"/>
          <w:sz w:val="32"/>
          <w:szCs w:val="32"/>
          <w:lang w:val="en-US" w:eastAsia="zh-CN"/>
        </w:rPr>
        <w:t>22.39</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增加了</w:t>
      </w:r>
      <w:r>
        <w:rPr>
          <w:rFonts w:hint="eastAsia" w:ascii="仿宋" w:hAnsi="仿宋" w:eastAsia="仿宋" w:cs="宋体"/>
          <w:color w:val="auto"/>
          <w:sz w:val="32"/>
          <w:szCs w:val="32"/>
          <w:lang w:val="en-US" w:eastAsia="zh-CN"/>
        </w:rPr>
        <w:t>5.64</w:t>
      </w:r>
      <w:r>
        <w:rPr>
          <w:rFonts w:hint="eastAsia" w:ascii="仿宋" w:hAnsi="仿宋" w:eastAsia="仿宋" w:cs="宋体"/>
          <w:color w:val="auto"/>
          <w:sz w:val="32"/>
          <w:szCs w:val="32"/>
        </w:rPr>
        <w:t>万元，增长</w:t>
      </w:r>
      <w:r>
        <w:rPr>
          <w:rFonts w:hint="eastAsia" w:ascii="仿宋" w:hAnsi="仿宋" w:eastAsia="仿宋" w:cs="宋体"/>
          <w:color w:val="auto"/>
          <w:sz w:val="32"/>
          <w:szCs w:val="32"/>
          <w:lang w:val="en-US" w:eastAsia="zh-CN"/>
        </w:rPr>
        <w:t>25.19</w:t>
      </w:r>
      <w:r>
        <w:rPr>
          <w:rFonts w:hint="eastAsia" w:ascii="仿宋" w:hAnsi="仿宋" w:eastAsia="仿宋" w:cs="宋体"/>
          <w:color w:val="auto"/>
          <w:sz w:val="32"/>
          <w:szCs w:val="32"/>
        </w:rPr>
        <w:t>%；</w:t>
      </w:r>
    </w:p>
    <w:p>
      <w:pPr>
        <w:adjustRightInd/>
        <w:snapToGrid/>
        <w:spacing w:before="225" w:after="225" w:line="480"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住房保障支出（类）城乡社区住宅（款）住房公积金管理（项）20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41.30</w:t>
      </w:r>
      <w:r>
        <w:rPr>
          <w:rFonts w:hint="eastAsia" w:ascii="仿宋" w:hAnsi="仿宋" w:eastAsia="仿宋" w:cs="宋体"/>
          <w:color w:val="auto"/>
          <w:sz w:val="32"/>
          <w:szCs w:val="32"/>
        </w:rPr>
        <w:t>万元，比20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w:t>
      </w:r>
      <w:r>
        <w:rPr>
          <w:rFonts w:hint="eastAsia" w:ascii="仿宋" w:hAnsi="仿宋" w:eastAsia="仿宋" w:cs="宋体"/>
          <w:color w:val="auto"/>
          <w:sz w:val="32"/>
          <w:szCs w:val="32"/>
          <w:lang w:eastAsia="zh-CN"/>
        </w:rPr>
        <w:t>执行</w:t>
      </w:r>
      <w:r>
        <w:rPr>
          <w:rFonts w:hint="eastAsia" w:ascii="仿宋" w:hAnsi="仿宋" w:eastAsia="仿宋" w:cs="宋体"/>
          <w:color w:val="auto"/>
          <w:sz w:val="32"/>
          <w:szCs w:val="32"/>
        </w:rPr>
        <w:t>数</w:t>
      </w:r>
      <w:r>
        <w:rPr>
          <w:rFonts w:hint="eastAsia" w:ascii="仿宋" w:hAnsi="仿宋" w:eastAsia="仿宋" w:cs="宋体"/>
          <w:color w:val="auto"/>
          <w:sz w:val="32"/>
          <w:szCs w:val="32"/>
          <w:lang w:val="en-US" w:eastAsia="zh-CN"/>
        </w:rPr>
        <w:t>46.92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5.62万元</w:t>
      </w:r>
      <w:r>
        <w:rPr>
          <w:rFonts w:hint="eastAsia" w:ascii="仿宋" w:hAnsi="仿宋" w:eastAsia="仿宋" w:cs="宋体"/>
          <w:color w:val="auto"/>
          <w:sz w:val="32"/>
          <w:szCs w:val="32"/>
        </w:rPr>
        <w:t>，增长</w:t>
      </w:r>
      <w:r>
        <w:rPr>
          <w:rFonts w:hint="eastAsia" w:ascii="仿宋" w:hAnsi="仿宋" w:eastAsia="仿宋" w:cs="宋体"/>
          <w:color w:val="auto"/>
          <w:sz w:val="32"/>
          <w:szCs w:val="32"/>
          <w:lang w:val="en-US" w:eastAsia="zh-CN"/>
        </w:rPr>
        <w:t>11.98</w:t>
      </w:r>
      <w:r>
        <w:rPr>
          <w:rFonts w:ascii="仿宋" w:hAnsi="仿宋" w:eastAsia="仿宋" w:cs="宋体"/>
          <w:color w:val="auto"/>
          <w:sz w:val="32"/>
          <w:szCs w:val="32"/>
        </w:rPr>
        <w:t>%</w:t>
      </w:r>
      <w:r>
        <w:rPr>
          <w:rFonts w:hint="eastAsia" w:ascii="仿宋" w:hAnsi="仿宋" w:eastAsia="仿宋" w:cs="宋体"/>
          <w:color w:val="auto"/>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w:t>
      </w:r>
      <w:r>
        <w:rPr>
          <w:rFonts w:hint="eastAsia" w:ascii="黑体" w:hAnsi="黑体" w:eastAsia="黑体"/>
          <w:sz w:val="32"/>
          <w:szCs w:val="32"/>
          <w:lang w:val="en-US" w:eastAsia="zh-CN"/>
        </w:rPr>
        <w:t>2</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548.56</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494.03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54.53</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w:t>
      </w:r>
      <w:r>
        <w:rPr>
          <w:rFonts w:hint="eastAsia" w:ascii="黑体" w:hAnsi="黑体" w:eastAsia="黑体"/>
          <w:sz w:val="32"/>
          <w:szCs w:val="32"/>
          <w:lang w:val="en-US" w:eastAsia="zh-CN"/>
        </w:rPr>
        <w:t>2</w:t>
      </w:r>
      <w:r>
        <w:rPr>
          <w:rFonts w:hint="eastAsia" w:ascii="黑体" w:hAnsi="黑体" w:eastAsia="黑体"/>
          <w:sz w:val="32"/>
          <w:szCs w:val="32"/>
        </w:rPr>
        <w:t>年度一般公共预算“三公”经费预算情况说明</w:t>
      </w:r>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年“三公”经费预算数</w:t>
      </w:r>
      <w:r>
        <w:rPr>
          <w:rFonts w:hint="eastAsia" w:ascii="仿宋" w:hAnsi="仿宋" w:eastAsia="仿宋" w:cs="宋体"/>
          <w:color w:val="auto"/>
          <w:sz w:val="32"/>
          <w:szCs w:val="32"/>
          <w:lang w:val="en-US" w:eastAsia="zh-CN"/>
        </w:rPr>
        <w:t>11.52</w:t>
      </w:r>
      <w:r>
        <w:rPr>
          <w:rFonts w:hint="eastAsia" w:ascii="仿宋" w:hAnsi="仿宋" w:eastAsia="仿宋" w:cs="宋体"/>
          <w:color w:val="auto"/>
          <w:sz w:val="32"/>
          <w:szCs w:val="32"/>
        </w:rPr>
        <w:t>万元。其中：因公出国（境）费</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万元，公务接待费</w:t>
      </w:r>
      <w:r>
        <w:rPr>
          <w:rFonts w:hint="eastAsia" w:ascii="仿宋" w:hAnsi="仿宋" w:eastAsia="仿宋" w:cs="宋体"/>
          <w:color w:val="auto"/>
          <w:sz w:val="32"/>
          <w:szCs w:val="32"/>
          <w:lang w:val="en-US" w:eastAsia="zh-CN"/>
        </w:rPr>
        <w:t>0.72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公务用车购置及运行费</w:t>
      </w:r>
      <w:r>
        <w:rPr>
          <w:rFonts w:hint="eastAsia" w:ascii="仿宋" w:hAnsi="仿宋" w:eastAsia="仿宋" w:cs="宋体"/>
          <w:color w:val="auto"/>
          <w:sz w:val="32"/>
          <w:szCs w:val="32"/>
          <w:lang w:val="en-US" w:eastAsia="zh-CN"/>
        </w:rPr>
        <w:t>10.88</w:t>
      </w:r>
      <w:r>
        <w:rPr>
          <w:rFonts w:hint="eastAsia" w:ascii="仿宋" w:hAnsi="仿宋" w:eastAsia="仿宋" w:cs="宋体"/>
          <w:color w:val="auto"/>
          <w:sz w:val="32"/>
          <w:szCs w:val="32"/>
        </w:rPr>
        <w:t>万元。均为公务用车运行费，无公务用车购置费</w:t>
      </w:r>
      <w:r>
        <w:rPr>
          <w:rFonts w:ascii="仿宋" w:hAnsi="仿宋" w:eastAsia="仿宋" w:cs="宋体"/>
          <w:color w:val="auto"/>
          <w:sz w:val="32"/>
          <w:szCs w:val="32"/>
        </w:rPr>
        <w:t>,</w:t>
      </w:r>
      <w:r>
        <w:rPr>
          <w:rFonts w:hint="eastAsia" w:ascii="仿宋" w:hAnsi="仿宋" w:eastAsia="仿宋" w:cs="宋体"/>
          <w:color w:val="auto"/>
          <w:sz w:val="32"/>
          <w:szCs w:val="32"/>
        </w:rPr>
        <w:t>我</w:t>
      </w:r>
      <w:r>
        <w:rPr>
          <w:rFonts w:hint="eastAsia" w:ascii="仿宋" w:hAnsi="仿宋" w:eastAsia="仿宋" w:cs="宋体"/>
          <w:color w:val="auto"/>
          <w:sz w:val="32"/>
          <w:szCs w:val="32"/>
          <w:lang w:eastAsia="zh-CN"/>
        </w:rPr>
        <w:t>单位</w:t>
      </w:r>
      <w:r>
        <w:rPr>
          <w:rFonts w:hint="eastAsia" w:ascii="仿宋" w:hAnsi="仿宋" w:eastAsia="仿宋" w:cs="宋体"/>
          <w:color w:val="auto"/>
          <w:sz w:val="32"/>
          <w:szCs w:val="32"/>
        </w:rPr>
        <w:t>车辆编制</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台，实有车辆</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台（与民宗局</w:t>
      </w:r>
      <w:r>
        <w:rPr>
          <w:rFonts w:hint="eastAsia" w:ascii="仿宋" w:hAnsi="仿宋" w:eastAsia="仿宋" w:cs="宋体"/>
          <w:color w:val="auto"/>
          <w:sz w:val="32"/>
          <w:szCs w:val="32"/>
          <w:lang w:eastAsia="zh-CN"/>
        </w:rPr>
        <w:t>公用</w:t>
      </w:r>
      <w:r>
        <w:rPr>
          <w:rFonts w:hint="eastAsia" w:ascii="仿宋" w:hAnsi="仿宋" w:eastAsia="仿宋" w:cs="宋体"/>
          <w:color w:val="auto"/>
          <w:sz w:val="32"/>
          <w:szCs w:val="32"/>
        </w:rPr>
        <w:t>）。</w:t>
      </w:r>
    </w:p>
    <w:p>
      <w:pPr>
        <w:adjustRightInd/>
        <w:snapToGrid/>
        <w:spacing w:before="225" w:after="225" w:line="480" w:lineRule="atLeast"/>
        <w:ind w:firstLine="480"/>
        <w:jc w:val="both"/>
        <w:rPr>
          <w:rFonts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11.52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比</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w:t>
      </w:r>
      <w:r>
        <w:rPr>
          <w:rFonts w:hint="eastAsia" w:ascii="仿宋" w:hAnsi="仿宋" w:eastAsia="仿宋" w:cs="宋体"/>
          <w:color w:val="auto"/>
          <w:sz w:val="32"/>
          <w:szCs w:val="32"/>
          <w:lang w:eastAsia="zh-CN"/>
        </w:rPr>
        <w:t>数</w:t>
      </w:r>
      <w:r>
        <w:rPr>
          <w:rFonts w:hint="eastAsia" w:ascii="仿宋" w:hAnsi="仿宋" w:eastAsia="仿宋" w:cs="宋体"/>
          <w:color w:val="auto"/>
          <w:sz w:val="32"/>
          <w:szCs w:val="32"/>
          <w:lang w:val="en-US" w:eastAsia="zh-CN"/>
        </w:rPr>
        <w:t>10.24万元，增加1.28万元</w:t>
      </w:r>
      <w:r>
        <w:rPr>
          <w:rFonts w:hint="eastAsia" w:ascii="仿宋" w:hAnsi="仿宋" w:eastAsia="仿宋" w:cs="宋体"/>
          <w:color w:val="auto"/>
          <w:sz w:val="32"/>
          <w:szCs w:val="32"/>
        </w:rPr>
        <w:t>。其中：公务接待费</w:t>
      </w:r>
      <w:r>
        <w:rPr>
          <w:rFonts w:hint="eastAsia" w:ascii="仿宋" w:hAnsi="仿宋" w:eastAsia="仿宋" w:cs="宋体"/>
          <w:color w:val="auto"/>
          <w:sz w:val="32"/>
          <w:szCs w:val="32"/>
          <w:lang w:val="en-US" w:eastAsia="zh-CN"/>
        </w:rPr>
        <w:t>0.72</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与</w:t>
      </w: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年预算数</w:t>
      </w:r>
      <w:r>
        <w:rPr>
          <w:rFonts w:hint="eastAsia" w:ascii="仿宋" w:hAnsi="仿宋" w:eastAsia="仿宋" w:cs="宋体"/>
          <w:color w:val="auto"/>
          <w:sz w:val="32"/>
          <w:szCs w:val="32"/>
          <w:lang w:val="en-US" w:eastAsia="zh-CN"/>
        </w:rPr>
        <w:t>0.64万元，增加0.08万元</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主要原因：</w:t>
      </w:r>
      <w:r>
        <w:rPr>
          <w:rFonts w:hint="eastAsia" w:ascii="仿宋" w:hAnsi="仿宋" w:eastAsia="仿宋" w:cs="宋体"/>
          <w:color w:val="auto"/>
          <w:sz w:val="32"/>
          <w:szCs w:val="32"/>
          <w:lang w:eastAsia="zh-CN"/>
        </w:rPr>
        <w:t>人员增加，预算增加</w:t>
      </w:r>
      <w:r>
        <w:rPr>
          <w:rFonts w:hint="eastAsia" w:ascii="仿宋" w:hAnsi="仿宋" w:eastAsia="仿宋" w:cs="宋体"/>
          <w:color w:val="auto"/>
          <w:sz w:val="32"/>
          <w:szCs w:val="32"/>
        </w:rPr>
        <w:t>。</w:t>
      </w:r>
    </w:p>
    <w:p>
      <w:pPr>
        <w:adjustRightInd/>
        <w:snapToGrid/>
        <w:spacing w:before="225" w:after="225" w:line="480" w:lineRule="atLeast"/>
        <w:ind w:firstLine="640" w:firstLineChars="200"/>
        <w:jc w:val="both"/>
        <w:rPr>
          <w:rFonts w:ascii="仿宋" w:hAnsi="仿宋" w:eastAsia="仿宋" w:cs="宋体"/>
          <w:color w:val="auto"/>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21年</w:t>
      </w:r>
      <w:r>
        <w:rPr>
          <w:rFonts w:hint="eastAsia" w:ascii="仿宋" w:hAnsi="仿宋" w:eastAsia="仿宋" w:cs="宋体"/>
          <w:color w:val="auto"/>
          <w:sz w:val="32"/>
          <w:szCs w:val="32"/>
        </w:rPr>
        <w:t>“三公”经费预算数</w:t>
      </w:r>
      <w:r>
        <w:rPr>
          <w:rFonts w:hint="eastAsia" w:ascii="仿宋" w:hAnsi="仿宋" w:eastAsia="仿宋" w:cs="宋体"/>
          <w:color w:val="auto"/>
          <w:sz w:val="32"/>
          <w:szCs w:val="32"/>
          <w:lang w:val="en-US" w:eastAsia="zh-CN"/>
        </w:rPr>
        <w:t>10.24</w:t>
      </w:r>
      <w:r>
        <w:rPr>
          <w:rFonts w:hint="eastAsia" w:ascii="仿宋" w:hAnsi="仿宋" w:eastAsia="仿宋" w:cs="宋体"/>
          <w:color w:val="auto"/>
          <w:sz w:val="32"/>
          <w:szCs w:val="32"/>
        </w:rPr>
        <w:t>万元，执行数为</w:t>
      </w:r>
      <w:r>
        <w:rPr>
          <w:rFonts w:hint="eastAsia" w:ascii="仿宋" w:hAnsi="仿宋" w:eastAsia="仿宋" w:cs="宋体"/>
          <w:color w:val="auto"/>
          <w:sz w:val="32"/>
          <w:szCs w:val="32"/>
          <w:lang w:val="en-US" w:eastAsia="zh-CN"/>
        </w:rPr>
        <w:t>9.69</w:t>
      </w:r>
      <w:r>
        <w:rPr>
          <w:rFonts w:hint="eastAsia" w:ascii="仿宋" w:hAnsi="仿宋" w:eastAsia="仿宋" w:cs="宋体"/>
          <w:color w:val="auto"/>
          <w:sz w:val="32"/>
          <w:szCs w:val="32"/>
        </w:rPr>
        <w:t>万元。其中：公务用</w:t>
      </w:r>
      <w:r>
        <w:rPr>
          <w:rFonts w:hint="eastAsia" w:ascii="仿宋" w:hAnsi="仿宋" w:eastAsia="仿宋" w:cs="宋体"/>
          <w:color w:val="auto"/>
          <w:sz w:val="32"/>
          <w:szCs w:val="32"/>
          <w:lang w:eastAsia="zh-CN"/>
        </w:rPr>
        <w:t>车</w:t>
      </w:r>
      <w:r>
        <w:rPr>
          <w:rFonts w:hint="eastAsia" w:ascii="仿宋" w:hAnsi="仿宋" w:eastAsia="仿宋" w:cs="宋体"/>
          <w:color w:val="auto"/>
          <w:sz w:val="32"/>
          <w:szCs w:val="32"/>
        </w:rPr>
        <w:t>运行费执行数</w:t>
      </w:r>
      <w:r>
        <w:rPr>
          <w:rFonts w:hint="eastAsia" w:ascii="仿宋" w:hAnsi="仿宋" w:eastAsia="仿宋" w:cs="宋体"/>
          <w:color w:val="auto"/>
          <w:sz w:val="32"/>
          <w:szCs w:val="32"/>
          <w:lang w:val="en-US" w:eastAsia="zh-CN"/>
        </w:rPr>
        <w:t>9.59</w:t>
      </w:r>
      <w:r>
        <w:rPr>
          <w:rFonts w:hint="eastAsia" w:ascii="仿宋" w:hAnsi="仿宋" w:eastAsia="仿宋" w:cs="宋体"/>
          <w:color w:val="auto"/>
          <w:sz w:val="32"/>
          <w:szCs w:val="32"/>
        </w:rPr>
        <w:t>万元，公务接待费执行数</w:t>
      </w:r>
      <w:r>
        <w:rPr>
          <w:rFonts w:hint="eastAsia" w:ascii="仿宋" w:hAnsi="仿宋" w:eastAsia="仿宋" w:cs="宋体"/>
          <w:color w:val="auto"/>
          <w:sz w:val="32"/>
          <w:szCs w:val="32"/>
          <w:lang w:val="en-US" w:eastAsia="zh-CN"/>
        </w:rPr>
        <w:t>0.09</w:t>
      </w:r>
      <w:r>
        <w:rPr>
          <w:rFonts w:hint="eastAsia" w:ascii="仿宋" w:hAnsi="仿宋" w:eastAsia="仿宋" w:cs="宋体"/>
          <w:color w:val="auto"/>
          <w:sz w:val="32"/>
          <w:szCs w:val="32"/>
        </w:rPr>
        <w:t>万元</w:t>
      </w:r>
      <w:r>
        <w:rPr>
          <w:rFonts w:hint="eastAsia" w:ascii="仿宋" w:hAnsi="仿宋" w:eastAsia="仿宋" w:cs="宋体"/>
          <w:color w:val="auto"/>
          <w:sz w:val="32"/>
          <w:szCs w:val="32"/>
          <w:lang w:eastAsia="zh-CN"/>
        </w:rPr>
        <w:t>（接待批次</w:t>
      </w:r>
      <w:r>
        <w:rPr>
          <w:rFonts w:hint="eastAsia" w:ascii="仿宋" w:hAnsi="仿宋" w:eastAsia="仿宋" w:cs="宋体"/>
          <w:color w:val="auto"/>
          <w:sz w:val="32"/>
          <w:szCs w:val="32"/>
          <w:lang w:val="en-US" w:eastAsia="zh-CN"/>
        </w:rPr>
        <w:t>1次，接待人数6人</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因公出国（境）费20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年年初无预算。</w:t>
      </w:r>
    </w:p>
    <w:p>
      <w:pPr>
        <w:adjustRightInd/>
        <w:snapToGrid/>
        <w:spacing w:before="225" w:after="225" w:line="480" w:lineRule="atLeast"/>
        <w:ind w:firstLine="480"/>
        <w:jc w:val="both"/>
        <w:rPr>
          <w:rFonts w:hint="eastAsia" w:ascii="仿宋" w:hAnsi="仿宋" w:eastAsia="仿宋"/>
          <w:sz w:val="32"/>
          <w:szCs w:val="32"/>
        </w:rPr>
      </w:pPr>
      <w:r>
        <w:rPr>
          <w:rFonts w:hint="eastAsia" w:ascii="仿宋" w:hAnsi="仿宋" w:eastAsia="仿宋" w:cs="宋体"/>
          <w:color w:val="auto"/>
          <w:sz w:val="32"/>
          <w:szCs w:val="32"/>
        </w:rPr>
        <w:t>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w:t>
      </w:r>
      <w:r>
        <w:rPr>
          <w:rFonts w:hint="eastAsia" w:ascii="仿宋" w:hAnsi="仿宋" w:eastAsia="仿宋" w:cs="宋体"/>
          <w:color w:val="auto"/>
          <w:sz w:val="32"/>
          <w:szCs w:val="32"/>
          <w:lang w:eastAsia="zh-CN"/>
        </w:rPr>
        <w:t>将</w:t>
      </w:r>
      <w:r>
        <w:rPr>
          <w:rFonts w:hint="eastAsia" w:ascii="仿宋" w:hAnsi="仿宋" w:eastAsia="仿宋" w:cs="宋体"/>
          <w:color w:val="auto"/>
          <w:sz w:val="32"/>
          <w:szCs w:val="32"/>
        </w:rPr>
        <w:t>切实缩减“三公”经费支出。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w:t>
      </w:r>
      <w:r>
        <w:rPr>
          <w:rFonts w:hint="eastAsia" w:ascii="黑体" w:hAnsi="黑体" w:eastAsia="黑体"/>
          <w:sz w:val="32"/>
          <w:szCs w:val="32"/>
          <w:lang w:val="en-US" w:eastAsia="zh-CN"/>
        </w:rPr>
        <w:t>2</w:t>
      </w:r>
      <w:r>
        <w:rPr>
          <w:rFonts w:hint="eastAsia" w:ascii="黑体" w:hAnsi="黑体" w:eastAsia="黑体"/>
          <w:sz w:val="32"/>
          <w:szCs w:val="32"/>
        </w:rPr>
        <w:t>年度政府性基金预算支出情况说明</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西藏朗县</w:t>
      </w:r>
      <w:r>
        <w:rPr>
          <w:rFonts w:hint="eastAsia" w:ascii="仿宋_GB2312" w:hAnsi="仿宋_GB2312" w:eastAsia="仿宋_GB2312" w:cs="仿宋_GB2312"/>
          <w:color w:val="000000"/>
          <w:sz w:val="32"/>
          <w:szCs w:val="32"/>
          <w:lang w:eastAsia="zh-CN"/>
        </w:rPr>
        <w:t>县委统战部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年度无政府性基金安排的支出。</w:t>
      </w:r>
    </w:p>
    <w:tbl>
      <w:tblPr>
        <w:tblStyle w:val="7"/>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9"/>
        <w:gridCol w:w="2183"/>
        <w:gridCol w:w="1000"/>
        <w:gridCol w:w="552"/>
        <w:gridCol w:w="1250"/>
        <w:gridCol w:w="1000"/>
        <w:gridCol w:w="552"/>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899"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附表4-13</w:t>
            </w:r>
          </w:p>
        </w:tc>
        <w:tc>
          <w:tcPr>
            <w:tcW w:w="218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25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8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29"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082" w:type="dxa"/>
            <w:gridSpan w:val="2"/>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22"/>
                <w:szCs w:val="22"/>
                <w:u w:val="none"/>
              </w:rPr>
            </w:pPr>
          </w:p>
        </w:tc>
        <w:tc>
          <w:tcPr>
            <w:tcW w:w="1000"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2" w:type="dxa"/>
            <w:shd w:val="clear" w:color="auto" w:fill="auto"/>
            <w:vAlign w:val="center"/>
          </w:tcPr>
          <w:p>
            <w:pPr>
              <w:rPr>
                <w:rFonts w:hint="eastAsia" w:ascii="宋体" w:hAnsi="宋体" w:eastAsia="宋体" w:cs="宋体"/>
                <w:i w:val="0"/>
                <w:color w:val="000000"/>
                <w:sz w:val="22"/>
                <w:szCs w:val="22"/>
                <w:u w:val="none"/>
              </w:rPr>
            </w:pPr>
          </w:p>
        </w:tc>
        <w:tc>
          <w:tcPr>
            <w:tcW w:w="1250"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shd w:val="clear" w:color="auto" w:fill="auto"/>
            <w:vAlign w:val="center"/>
          </w:tcPr>
          <w:p>
            <w:pPr>
              <w:rPr>
                <w:rFonts w:hint="eastAsia" w:ascii="宋体" w:hAnsi="宋体" w:eastAsia="宋体" w:cs="宋体"/>
                <w:i w:val="0"/>
                <w:color w:val="000000"/>
                <w:sz w:val="22"/>
                <w:szCs w:val="22"/>
                <w:u w:val="none"/>
              </w:rPr>
            </w:pPr>
          </w:p>
        </w:tc>
        <w:tc>
          <w:tcPr>
            <w:tcW w:w="552"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893"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9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单位/科目编码</w:t>
            </w:r>
          </w:p>
        </w:tc>
        <w:tc>
          <w:tcPr>
            <w:tcW w:w="218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单位/科目名称</w:t>
            </w:r>
          </w:p>
        </w:tc>
        <w:tc>
          <w:tcPr>
            <w:tcW w:w="10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54"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89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9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18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55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2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对个人和家庭补助</w:t>
            </w:r>
          </w:p>
        </w:tc>
        <w:tc>
          <w:tcPr>
            <w:tcW w:w="10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w:t>
            </w:r>
          </w:p>
        </w:tc>
        <w:tc>
          <w:tcPr>
            <w:tcW w:w="55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89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9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8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100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552"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5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2"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9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899"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2183"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2"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250"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0"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2"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893" w:type="dxa"/>
            <w:tcBorders>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r>
    </w:tbl>
    <w:p>
      <w:pPr>
        <w:ind w:firstLine="640" w:firstLineChars="200"/>
        <w:rPr>
          <w:rFonts w:hint="eastAsia" w:ascii="仿宋_GB2312" w:hAnsi="仿宋_GB2312" w:eastAsia="仿宋_GB2312" w:cs="仿宋_GB2312"/>
          <w:color w:val="000000"/>
          <w:sz w:val="32"/>
          <w:szCs w:val="32"/>
        </w:rPr>
      </w:pPr>
    </w:p>
    <w:p>
      <w:pPr>
        <w:ind w:firstLine="640"/>
        <w:rPr>
          <w:rFonts w:hint="eastAsia" w:ascii="黑体" w:hAnsi="黑体" w:eastAsia="黑体"/>
          <w:sz w:val="32"/>
          <w:szCs w:val="32"/>
        </w:rPr>
      </w:pPr>
      <w:r>
        <w:rPr>
          <w:rFonts w:hint="eastAsia" w:ascii="黑体" w:hAnsi="黑体" w:eastAsia="黑体"/>
          <w:sz w:val="32"/>
          <w:szCs w:val="32"/>
        </w:rPr>
        <w:t>九、其他重要事项的情况说明</w:t>
      </w:r>
    </w:p>
    <w:p>
      <w:pPr>
        <w:ind w:firstLine="640"/>
        <w:rPr>
          <w:rFonts w:ascii="楷体" w:hAnsi="楷体" w:eastAsia="楷体"/>
          <w:sz w:val="32"/>
          <w:szCs w:val="32"/>
        </w:rPr>
      </w:pPr>
      <w:r>
        <w:rPr>
          <w:rFonts w:hint="eastAsia" w:ascii="楷体" w:hAnsi="楷体" w:eastAsia="楷体"/>
          <w:sz w:val="32"/>
          <w:szCs w:val="32"/>
        </w:rPr>
        <w:t>（一）机关运行经费安排使用情况说明。</w:t>
      </w:r>
    </w:p>
    <w:p>
      <w:pPr>
        <w:adjustRightInd/>
        <w:snapToGrid/>
        <w:spacing w:before="225" w:after="225" w:line="480" w:lineRule="atLeast"/>
        <w:ind w:firstLine="480"/>
        <w:jc w:val="both"/>
        <w:rPr>
          <w:rFonts w:ascii="仿宋" w:hAnsi="仿宋" w:eastAsia="仿宋"/>
          <w:sz w:val="32"/>
          <w:szCs w:val="32"/>
        </w:rPr>
      </w:pPr>
      <w:r>
        <w:rPr>
          <w:rFonts w:hint="eastAsia" w:ascii="仿宋" w:hAnsi="仿宋" w:eastAsia="仿宋" w:cs="宋体"/>
          <w:color w:val="auto"/>
          <w:sz w:val="32"/>
          <w:szCs w:val="32"/>
        </w:rPr>
        <w:t>我部20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年机关运行经费财政拨款预算</w:t>
      </w:r>
      <w:r>
        <w:rPr>
          <w:rFonts w:hint="eastAsia" w:ascii="仿宋" w:hAnsi="仿宋" w:eastAsia="仿宋" w:cs="宋体"/>
          <w:color w:val="auto"/>
          <w:sz w:val="32"/>
          <w:szCs w:val="32"/>
          <w:lang w:val="en-US" w:eastAsia="zh-CN"/>
        </w:rPr>
        <w:t>54.53</w:t>
      </w:r>
      <w:r>
        <w:rPr>
          <w:rFonts w:hint="eastAsia" w:ascii="仿宋" w:hAnsi="仿宋" w:eastAsia="仿宋" w:cs="宋体"/>
          <w:color w:val="auto"/>
          <w:sz w:val="32"/>
          <w:szCs w:val="32"/>
        </w:rPr>
        <w:t>万元，较20</w:t>
      </w:r>
      <w:r>
        <w:rPr>
          <w:rFonts w:hint="eastAsia" w:ascii="仿宋" w:hAnsi="仿宋" w:eastAsia="仿宋" w:cs="宋体"/>
          <w:color w:val="auto"/>
          <w:sz w:val="32"/>
          <w:szCs w:val="32"/>
          <w:lang w:val="en-US" w:eastAsia="zh-CN"/>
        </w:rPr>
        <w:t>21</w:t>
      </w:r>
      <w:r>
        <w:rPr>
          <w:rFonts w:hint="eastAsia" w:ascii="仿宋" w:hAnsi="仿宋" w:eastAsia="仿宋" w:cs="宋体"/>
          <w:color w:val="auto"/>
          <w:sz w:val="32"/>
          <w:szCs w:val="32"/>
        </w:rPr>
        <w:t>年预算</w:t>
      </w:r>
      <w:r>
        <w:rPr>
          <w:rFonts w:hint="eastAsia" w:ascii="仿宋" w:hAnsi="仿宋" w:eastAsia="仿宋" w:cs="宋体"/>
          <w:color w:val="auto"/>
          <w:sz w:val="32"/>
          <w:szCs w:val="32"/>
          <w:lang w:eastAsia="zh-CN"/>
        </w:rPr>
        <w:t>增加</w:t>
      </w:r>
      <w:r>
        <w:rPr>
          <w:rFonts w:hint="eastAsia" w:ascii="仿宋" w:hAnsi="仿宋" w:eastAsia="仿宋" w:cs="宋体"/>
          <w:color w:val="auto"/>
          <w:sz w:val="32"/>
          <w:szCs w:val="32"/>
          <w:lang w:val="en-US" w:eastAsia="zh-CN"/>
        </w:rPr>
        <w:t>7.17万元，主要原因为人员增加。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我部20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年预算未安排政府采购业务</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adjustRightInd/>
        <w:snapToGrid/>
        <w:spacing w:before="225" w:after="225" w:line="480" w:lineRule="atLeast"/>
        <w:ind w:firstLine="480"/>
        <w:jc w:val="both"/>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 xml:space="preserve"> </w:t>
      </w:r>
      <w:r>
        <w:rPr>
          <w:rFonts w:hint="eastAsia" w:ascii="仿宋" w:hAnsi="仿宋" w:eastAsia="仿宋" w:cs="宋体"/>
          <w:color w:val="auto"/>
          <w:sz w:val="32"/>
          <w:szCs w:val="32"/>
        </w:rPr>
        <w:t>截止20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17</w:t>
      </w:r>
      <w:r>
        <w:rPr>
          <w:rFonts w:hint="eastAsia" w:ascii="仿宋" w:hAnsi="仿宋" w:eastAsia="仿宋" w:cs="宋体"/>
          <w:color w:val="auto"/>
          <w:sz w:val="32"/>
          <w:szCs w:val="32"/>
        </w:rPr>
        <w:t>日，我部共有车辆</w:t>
      </w:r>
      <w:r>
        <w:rPr>
          <w:rFonts w:ascii="仿宋" w:hAnsi="仿宋" w:eastAsia="仿宋" w:cs="宋体"/>
          <w:color w:val="auto"/>
          <w:sz w:val="32"/>
          <w:szCs w:val="32"/>
        </w:rPr>
        <w:t>1</w:t>
      </w:r>
      <w:r>
        <w:rPr>
          <w:rFonts w:hint="eastAsia" w:ascii="仿宋" w:hAnsi="仿宋" w:eastAsia="仿宋" w:cs="宋体"/>
          <w:color w:val="auto"/>
          <w:sz w:val="32"/>
          <w:szCs w:val="32"/>
        </w:rPr>
        <w:t>辆均为一般公务用车车辆（与民宗局共用）。20</w:t>
      </w:r>
      <w:r>
        <w:rPr>
          <w:rFonts w:hint="eastAsia" w:ascii="仿宋" w:hAnsi="仿宋" w:eastAsia="仿宋" w:cs="宋体"/>
          <w:color w:val="auto"/>
          <w:sz w:val="32"/>
          <w:szCs w:val="32"/>
          <w:lang w:val="en-US" w:eastAsia="zh-CN"/>
        </w:rPr>
        <w:t>22</w:t>
      </w:r>
      <w:r>
        <w:rPr>
          <w:rFonts w:hint="eastAsia" w:ascii="仿宋" w:hAnsi="仿宋" w:eastAsia="仿宋" w:cs="宋体"/>
          <w:color w:val="auto"/>
          <w:sz w:val="32"/>
          <w:szCs w:val="32"/>
        </w:rPr>
        <w:t>年部门预算</w:t>
      </w:r>
      <w:r>
        <w:rPr>
          <w:rFonts w:hint="eastAsia" w:ascii="仿宋" w:hAnsi="仿宋" w:eastAsia="仿宋" w:cs="宋体"/>
          <w:color w:val="auto"/>
          <w:sz w:val="32"/>
          <w:szCs w:val="32"/>
          <w:highlight w:val="none"/>
        </w:rPr>
        <w:t>未</w:t>
      </w:r>
      <w:r>
        <w:rPr>
          <w:rFonts w:hint="eastAsia" w:ascii="仿宋" w:hAnsi="仿宋" w:eastAsia="仿宋" w:cs="宋体"/>
          <w:color w:val="auto"/>
          <w:sz w:val="32"/>
          <w:szCs w:val="32"/>
        </w:rPr>
        <w:t>安排车辆购置费。</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2</w:t>
      </w:r>
      <w:r>
        <w:rPr>
          <w:rFonts w:hint="eastAsia" w:ascii="楷体" w:hAnsi="楷体" w:eastAsia="楷体"/>
          <w:sz w:val="32"/>
          <w:szCs w:val="32"/>
        </w:rPr>
        <w:t>年预算绩效目标管理情况。</w:t>
      </w:r>
    </w:p>
    <w:p>
      <w:pPr>
        <w:spacing w:line="588" w:lineRule="exact"/>
        <w:ind w:firstLine="640" w:firstLineChars="200"/>
        <w:rPr>
          <w:rFonts w:hint="eastAsia" w:ascii="楷体" w:hAnsi="楷体" w:eastAsia="楷体"/>
          <w:sz w:val="32"/>
          <w:szCs w:val="32"/>
          <w:lang w:eastAsia="zh-CN"/>
        </w:rPr>
      </w:pPr>
      <w:r>
        <w:rPr>
          <w:rFonts w:hint="eastAsia" w:ascii="仿宋" w:hAnsi="仿宋" w:eastAsia="仿宋"/>
          <w:color w:val="000000" w:themeColor="text1"/>
          <w:sz w:val="32"/>
          <w:szCs w:val="32"/>
          <w14:textFill>
            <w14:solidFill>
              <w14:schemeClr w14:val="tx1"/>
            </w14:solidFill>
          </w14:textFill>
        </w:rPr>
        <w:t xml:space="preserve"> 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年实现财政支出绩效目标管理全覆盖，实行绩效目标管理。重点项目（见名词解释）实行绩效目标管理1个，项目名称为</w:t>
      </w:r>
      <w:r>
        <w:rPr>
          <w:rFonts w:hint="eastAsia" w:ascii="仿宋" w:hAnsi="仿宋" w:eastAsia="仿宋"/>
          <w:color w:val="000000" w:themeColor="text1"/>
          <w:sz w:val="32"/>
          <w:szCs w:val="32"/>
          <w:lang w:eastAsia="zh-CN"/>
          <w14:textFill>
            <w14:solidFill>
              <w14:schemeClr w14:val="tx1"/>
            </w14:solidFill>
          </w14:textFill>
        </w:rPr>
        <w:t>党外人士生活补助</w:t>
      </w:r>
      <w:r>
        <w:rPr>
          <w:rFonts w:hint="eastAsia" w:ascii="仿宋" w:hAnsi="仿宋" w:eastAsia="仿宋"/>
          <w:color w:val="000000" w:themeColor="text1"/>
          <w:sz w:val="32"/>
          <w:szCs w:val="32"/>
          <w14:textFill>
            <w14:solidFill>
              <w14:schemeClr w14:val="tx1"/>
            </w14:solidFill>
          </w14:textFill>
        </w:rPr>
        <w:t>，资金</w:t>
      </w:r>
      <w:r>
        <w:rPr>
          <w:rFonts w:hint="eastAsia" w:ascii="仿宋" w:hAnsi="仿宋" w:eastAsia="仿宋"/>
          <w:color w:val="000000" w:themeColor="text1"/>
          <w:sz w:val="32"/>
          <w:szCs w:val="32"/>
          <w:lang w:val="en-US" w:eastAsia="zh-CN"/>
          <w14:textFill>
            <w14:solidFill>
              <w14:schemeClr w14:val="tx1"/>
            </w14:solidFill>
          </w14:textFill>
        </w:rPr>
        <w:t>23.56</w:t>
      </w:r>
      <w:r>
        <w:rPr>
          <w:rFonts w:hint="eastAsia" w:ascii="仿宋" w:hAnsi="仿宋" w:eastAsia="仿宋"/>
          <w:color w:val="000000" w:themeColor="text1"/>
          <w:sz w:val="32"/>
          <w:szCs w:val="32"/>
          <w14:textFill>
            <w14:solidFill>
              <w14:schemeClr w14:val="tx1"/>
            </w14:solidFill>
          </w14:textFill>
        </w:rPr>
        <w:t>万元，占年初项目支出预算总额的100%。</w:t>
      </w:r>
    </w:p>
    <w:p>
      <w:pPr>
        <w:spacing w:line="58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（附项目支出绩效表）</w:t>
      </w:r>
    </w:p>
    <w:p>
      <w:pPr>
        <w:ind w:firstLine="640"/>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我部门2022年</w:t>
      </w:r>
      <w:r>
        <w:rPr>
          <w:rFonts w:hint="eastAsia" w:ascii="仿宋" w:hAnsi="仿宋" w:eastAsia="仿宋" w:cs="仿宋"/>
          <w:sz w:val="32"/>
          <w:szCs w:val="32"/>
          <w:lang w:eastAsia="zh-CN"/>
        </w:rPr>
        <w:t>无扶贫资金。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BZDBT">
    <w:altName w:val="宋体"/>
    <w:panose1 w:val="02010601030101010101"/>
    <w:charset w:val="86"/>
    <w:family w:val="auto"/>
    <w:pitch w:val="default"/>
    <w:sig w:usb0="00000000" w:usb1="00000000" w:usb2="00000000" w:usb3="00000000" w:csb0="00040000" w:csb1="00000000"/>
  </w:font>
  <w:font w:name="BZDHT">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CA0A"/>
    <w:multiLevelType w:val="singleLevel"/>
    <w:tmpl w:val="6048CA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671C4"/>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10BF2"/>
    <w:rsid w:val="00B60721"/>
    <w:rsid w:val="00B6522F"/>
    <w:rsid w:val="00B67A9E"/>
    <w:rsid w:val="00B74CCE"/>
    <w:rsid w:val="00B81BA7"/>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8E251F"/>
    <w:rsid w:val="2174096D"/>
    <w:rsid w:val="26E013D4"/>
    <w:rsid w:val="29C52890"/>
    <w:rsid w:val="35ED4505"/>
    <w:rsid w:val="3DD162BD"/>
    <w:rsid w:val="46CF7A1E"/>
    <w:rsid w:val="47E056AD"/>
    <w:rsid w:val="50D227EC"/>
    <w:rsid w:val="518801D5"/>
    <w:rsid w:val="54224296"/>
    <w:rsid w:val="7F663E0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544</Words>
  <Characters>3106</Characters>
  <Lines>25</Lines>
  <Paragraphs>7</Paragraphs>
  <ScaleCrop>false</ScaleCrop>
  <LinksUpToDate>false</LinksUpToDate>
  <CharactersWithSpaces>3643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2021-03-03T03:38:00Z</dcterms:created>
  <dc:creator>CN=预算处/OU=预算处/OU=西藏自治区财政厅/O=TIBET</dc:creator>
  <cp:lastModifiedBy>Administrator</cp:lastModifiedBy>
  <cp:lastPrinted>2022-02-18T02:08:00Z</cp:lastPrinted>
  <dcterms:modified xsi:type="dcterms:W3CDTF">2022-02-21T04:13:51Z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